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7C" w:rsidRPr="005F087C" w:rsidRDefault="005F087C" w:rsidP="005F087C">
      <w:pPr>
        <w:jc w:val="center"/>
        <w:rPr>
          <w:b/>
          <w:sz w:val="28"/>
          <w:szCs w:val="28"/>
        </w:rPr>
      </w:pPr>
      <w:r w:rsidRPr="005F087C">
        <w:rPr>
          <w:rFonts w:hint="eastAsia"/>
          <w:b/>
          <w:sz w:val="28"/>
          <w:szCs w:val="28"/>
        </w:rPr>
        <w:t>2015</w:t>
      </w:r>
      <w:r w:rsidRPr="005F087C">
        <w:rPr>
          <w:rFonts w:hint="eastAsia"/>
          <w:b/>
          <w:sz w:val="28"/>
          <w:szCs w:val="28"/>
        </w:rPr>
        <w:t>年度立项未完成项目一览表</w:t>
      </w:r>
    </w:p>
    <w:tbl>
      <w:tblPr>
        <w:tblpPr w:leftFromText="180" w:rightFromText="180" w:vertAnchor="text" w:tblpY="1"/>
        <w:tblOverlap w:val="never"/>
        <w:tblW w:w="136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5"/>
        <w:gridCol w:w="8424"/>
        <w:gridCol w:w="1134"/>
        <w:gridCol w:w="1134"/>
        <w:gridCol w:w="2409"/>
      </w:tblGrid>
      <w:tr w:rsidR="005F087C" w:rsidRPr="005F087C" w:rsidTr="005F087C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87C" w:rsidRPr="005F087C" w:rsidRDefault="005F087C" w:rsidP="005F087C">
            <w:pPr>
              <w:jc w:val="center"/>
            </w:pPr>
            <w:r w:rsidRPr="005F087C">
              <w:rPr>
                <w:rFonts w:hint="eastAsia"/>
              </w:rPr>
              <w:t>序号</w:t>
            </w: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87C" w:rsidRPr="005F087C" w:rsidRDefault="005F087C" w:rsidP="005F087C">
            <w:pPr>
              <w:jc w:val="center"/>
            </w:pPr>
            <w:r w:rsidRPr="005F087C">
              <w:rPr>
                <w:rFonts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87C" w:rsidRPr="005F087C" w:rsidRDefault="005F087C" w:rsidP="005F087C">
            <w:pPr>
              <w:jc w:val="center"/>
            </w:pPr>
            <w:r w:rsidRPr="005F087C">
              <w:rPr>
                <w:rFonts w:hint="eastAsia"/>
              </w:rPr>
              <w:t>负责人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87C" w:rsidRPr="005F087C" w:rsidRDefault="005F087C" w:rsidP="005F087C">
            <w:pPr>
              <w:jc w:val="center"/>
            </w:pPr>
            <w:r>
              <w:rPr>
                <w:rFonts w:hint="eastAsia"/>
              </w:rPr>
              <w:t>资助</w:t>
            </w:r>
            <w:r w:rsidRPr="005F087C">
              <w:rPr>
                <w:rFonts w:hint="eastAsia"/>
              </w:rPr>
              <w:t>经费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087C" w:rsidRPr="005F087C" w:rsidRDefault="005F087C" w:rsidP="005F087C">
            <w:pPr>
              <w:jc w:val="center"/>
            </w:pPr>
            <w:r w:rsidRPr="005F087C">
              <w:rPr>
                <w:rFonts w:hint="eastAsia"/>
              </w:rPr>
              <w:t>备注</w:t>
            </w: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中国文化与中国文论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林香兰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基于英语新词语的认知社会语言学研究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赵永峰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对话句法的理论批判与发展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刘兴兵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异国</w:t>
            </w:r>
            <w:proofErr w:type="gramStart"/>
            <w:r w:rsidRPr="005F087C">
              <w:rPr>
                <w:rFonts w:hint="eastAsia"/>
                <w:bCs/>
              </w:rPr>
              <w:t>显性读者</w:t>
            </w:r>
            <w:proofErr w:type="gramEnd"/>
            <w:r w:rsidRPr="005F087C">
              <w:rPr>
                <w:rFonts w:hint="eastAsia"/>
                <w:bCs/>
              </w:rPr>
              <w:t>与《中国文学》的接受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杨跃华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性的囚徒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许梅花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制度距离对中国企业海外投资逆向知识转移影响机制研究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徐磊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美国学“中层理论”之于中国美国学研究的启示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徐婷婷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基于</w:t>
            </w:r>
            <w:r w:rsidRPr="005F087C">
              <w:rPr>
                <w:rFonts w:hint="eastAsia"/>
                <w:bCs/>
              </w:rPr>
              <w:t>PPP</w:t>
            </w:r>
            <w:r w:rsidRPr="005F087C">
              <w:rPr>
                <w:rFonts w:hint="eastAsia"/>
                <w:bCs/>
              </w:rPr>
              <w:t>视角的金融支持重庆城市棚户区改造研究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于全辉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文化人类学视野中“中国崛起论”对当代日本的影响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杨羽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以慕课</w:t>
            </w:r>
            <w:proofErr w:type="gramEnd"/>
            <w:r w:rsidRPr="005F087C">
              <w:rPr>
                <w:rFonts w:hint="eastAsia"/>
                <w:bCs/>
              </w:rPr>
              <w:t>为依托的四川外国语大学英语专业学生语调音系结构实验调查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赵</w:t>
            </w:r>
            <w:proofErr w:type="gramStart"/>
            <w:r w:rsidRPr="005F087C">
              <w:rPr>
                <w:rFonts w:hint="eastAsia"/>
                <w:bCs/>
              </w:rPr>
              <w:t>奂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阿拉伯现当代小说中的宗教极端人物形象研究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黄婷婷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形象学视域下《中国文学》建构的中国形象研究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唐绪华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基于失独群体</w:t>
            </w:r>
            <w:proofErr w:type="gramEnd"/>
            <w:r w:rsidRPr="005F087C">
              <w:rPr>
                <w:rFonts w:hint="eastAsia"/>
                <w:bCs/>
              </w:rPr>
              <w:t>心理健康影响机制的社会支持系统研究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张艳萍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美国</w:t>
            </w:r>
            <w:r w:rsidRPr="005F087C">
              <w:rPr>
                <w:rFonts w:hint="eastAsia"/>
                <w:bCs/>
              </w:rPr>
              <w:t>20</w:t>
            </w:r>
            <w:r w:rsidRPr="005F087C">
              <w:rPr>
                <w:rFonts w:hint="eastAsia"/>
                <w:bCs/>
              </w:rPr>
              <w:t>世纪</w:t>
            </w:r>
            <w:r w:rsidRPr="005F087C">
              <w:rPr>
                <w:rFonts w:hint="eastAsia"/>
                <w:bCs/>
              </w:rPr>
              <w:t>80</w:t>
            </w:r>
            <w:r w:rsidRPr="005F087C">
              <w:rPr>
                <w:rFonts w:hint="eastAsia"/>
                <w:bCs/>
              </w:rPr>
              <w:t>年代以来的环境正义运动研究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王洁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2011-2015</w:t>
            </w:r>
            <w:r w:rsidRPr="005F087C">
              <w:rPr>
                <w:rFonts w:hint="eastAsia"/>
                <w:bCs/>
              </w:rPr>
              <w:t>年德国主流媒体中的中国形象研究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张丽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社会工作视角下的重庆进城务工人员随迁子女社会融合研究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邓晓梅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中国出口增加值率的产业异质性及其门槛效应分析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赵素萍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城市文化空间生产策略研究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赵永升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审美权力与文学经典的传承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陈冬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翻译适应选择论视角下葛浩文夫妇译本《玉米》的适应选择</w:t>
            </w:r>
            <w:r w:rsidRPr="005F087C">
              <w:rPr>
                <w:rFonts w:hint="eastAsia"/>
                <w:bCs/>
              </w:rPr>
              <w:t>-</w:t>
            </w:r>
            <w:r w:rsidRPr="005F087C">
              <w:rPr>
                <w:rFonts w:hint="eastAsia"/>
                <w:bCs/>
              </w:rPr>
              <w:t>看翻译如何助力中国文学“走出去”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李佩瑾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重庆高校汉语国际传播研究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张洪健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重庆时期大韩民国临时政府与国际关系新探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金日权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永远的回还——从赫拉克利特到徐</w:t>
            </w:r>
            <w:proofErr w:type="gramStart"/>
            <w:r w:rsidRPr="005F087C">
              <w:rPr>
                <w:rFonts w:hint="eastAsia"/>
                <w:bCs/>
              </w:rPr>
              <w:t>梵</w:t>
            </w:r>
            <w:proofErr w:type="gramEnd"/>
            <w:r w:rsidRPr="005F087C">
              <w:rPr>
                <w:rFonts w:hint="eastAsia"/>
                <w:bCs/>
              </w:rPr>
              <w:t>澄的时空观比堪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贺佳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英语双宾</w:t>
            </w:r>
            <w:proofErr w:type="gramEnd"/>
            <w:r w:rsidRPr="005F087C">
              <w:rPr>
                <w:rFonts w:hint="eastAsia"/>
                <w:bCs/>
              </w:rPr>
              <w:t>结构中</w:t>
            </w:r>
            <w:r w:rsidRPr="005F087C">
              <w:rPr>
                <w:rFonts w:hint="eastAsia"/>
                <w:bCs/>
              </w:rPr>
              <w:t>DO</w:t>
            </w:r>
            <w:r w:rsidRPr="005F087C">
              <w:rPr>
                <w:rFonts w:hint="eastAsia"/>
                <w:bCs/>
              </w:rPr>
              <w:t>—</w:t>
            </w:r>
            <w:r w:rsidRPr="005F087C">
              <w:rPr>
                <w:rFonts w:hint="eastAsia"/>
                <w:bCs/>
              </w:rPr>
              <w:t xml:space="preserve">IO </w:t>
            </w:r>
            <w:proofErr w:type="spellStart"/>
            <w:r w:rsidRPr="005F087C">
              <w:rPr>
                <w:rFonts w:hint="eastAsia"/>
                <w:bCs/>
              </w:rPr>
              <w:t>Wh</w:t>
            </w:r>
            <w:proofErr w:type="spellEnd"/>
            <w:r w:rsidRPr="005F087C">
              <w:rPr>
                <w:rFonts w:hint="eastAsia"/>
                <w:bCs/>
              </w:rPr>
              <w:t>-</w:t>
            </w:r>
            <w:r w:rsidRPr="005F087C">
              <w:rPr>
                <w:rFonts w:hint="eastAsia"/>
                <w:bCs/>
              </w:rPr>
              <w:t>移位的优先效应研究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周君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重庆市属本科高校债务问题研究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杨建勇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社会性别视角下单位型社区转型中的社区意识研究——以</w:t>
            </w:r>
            <w:r w:rsidRPr="005F087C">
              <w:rPr>
                <w:rFonts w:hint="eastAsia"/>
                <w:bCs/>
              </w:rPr>
              <w:t>C</w:t>
            </w:r>
            <w:r w:rsidRPr="005F087C">
              <w:rPr>
                <w:rFonts w:hint="eastAsia"/>
                <w:bCs/>
              </w:rPr>
              <w:t>社区为例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林萍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基于“互联网</w:t>
            </w:r>
            <w:r w:rsidRPr="005F087C">
              <w:rPr>
                <w:rFonts w:hint="eastAsia"/>
                <w:bCs/>
              </w:rPr>
              <w:t>+</w:t>
            </w:r>
            <w:r w:rsidRPr="005F087C">
              <w:rPr>
                <w:rFonts w:hint="eastAsia"/>
                <w:bCs/>
              </w:rPr>
              <w:t>校园文化”模式的高校档案资源开发与利用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刘龙垚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英汉语言与思维对比研究之批判性分析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王德义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高校心理咨询</w:t>
            </w:r>
            <w:proofErr w:type="gramStart"/>
            <w:r w:rsidRPr="005F087C">
              <w:rPr>
                <w:rFonts w:hint="eastAsia"/>
                <w:bCs/>
              </w:rPr>
              <w:t>师心理</w:t>
            </w:r>
            <w:proofErr w:type="gramEnd"/>
            <w:r w:rsidRPr="005F087C">
              <w:rPr>
                <w:rFonts w:hint="eastAsia"/>
                <w:bCs/>
              </w:rPr>
              <w:t>危机干预中伦理困境与对策的质性研究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张云喜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语言的体认性研究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王寅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第四方物流多式联运运输优化建模与算法研究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proofErr w:type="gramStart"/>
            <w:r w:rsidRPr="005F087C">
              <w:rPr>
                <w:rFonts w:hint="eastAsia"/>
                <w:bCs/>
              </w:rPr>
              <w:t>熊桂武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  <w:tr w:rsidR="005F087C" w:rsidRPr="005F087C" w:rsidTr="005F087C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F087C" w:rsidRPr="005F087C" w:rsidRDefault="005F087C" w:rsidP="005F087C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8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rPr>
                <w:bCs/>
              </w:rPr>
            </w:pPr>
            <w:r w:rsidRPr="005F087C">
              <w:rPr>
                <w:rFonts w:hint="eastAsia"/>
                <w:bCs/>
              </w:rPr>
              <w:t>自觉与建制：我国教育法学理论体系研究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龙洋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  <w:r w:rsidRPr="005F087C">
              <w:rPr>
                <w:rFonts w:hint="eastAsia"/>
                <w:bCs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F087C" w:rsidRPr="005F087C" w:rsidRDefault="005F087C" w:rsidP="005F087C">
            <w:pPr>
              <w:jc w:val="center"/>
              <w:rPr>
                <w:bCs/>
              </w:rPr>
            </w:pPr>
          </w:p>
        </w:tc>
      </w:tr>
    </w:tbl>
    <w:p w:rsidR="00E15C32" w:rsidRDefault="00E15C32"/>
    <w:sectPr w:rsidR="00E15C32" w:rsidSect="005F087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2F" w:rsidRDefault="0014692F" w:rsidP="00C205AB">
      <w:r>
        <w:separator/>
      </w:r>
    </w:p>
  </w:endnote>
  <w:endnote w:type="continuationSeparator" w:id="0">
    <w:p w:rsidR="0014692F" w:rsidRDefault="0014692F" w:rsidP="00C2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2F" w:rsidRDefault="0014692F" w:rsidP="00C205AB">
      <w:r>
        <w:separator/>
      </w:r>
    </w:p>
  </w:footnote>
  <w:footnote w:type="continuationSeparator" w:id="0">
    <w:p w:rsidR="0014692F" w:rsidRDefault="0014692F" w:rsidP="00C20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674"/>
    <w:multiLevelType w:val="multilevel"/>
    <w:tmpl w:val="4E5306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87C"/>
    <w:rsid w:val="000532FB"/>
    <w:rsid w:val="0014692F"/>
    <w:rsid w:val="005F087C"/>
    <w:rsid w:val="008A7878"/>
    <w:rsid w:val="00C205AB"/>
    <w:rsid w:val="00E1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5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丁健琼</dc:creator>
  <cp:lastModifiedBy>sisu</cp:lastModifiedBy>
  <cp:revision>3</cp:revision>
  <dcterms:created xsi:type="dcterms:W3CDTF">2020-04-24T00:53:00Z</dcterms:created>
  <dcterms:modified xsi:type="dcterms:W3CDTF">2020-04-27T01:58:00Z</dcterms:modified>
</cp:coreProperties>
</file>